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ABCDB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8" w:lineRule="atLeast"/>
        <w:ind w:left="0" w:right="0" w:firstLine="0"/>
        <w:jc w:val="center"/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关于停征免征和调整部分行政事业性收费有关政策的通知</w:t>
      </w:r>
    </w:p>
    <w:p w14:paraId="07D8037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8" w:lineRule="atLeast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财税〔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2018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〕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37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号</w:t>
      </w:r>
    </w:p>
    <w:p w14:paraId="37229EA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8" w:lineRule="atLeast"/>
        <w:ind w:left="0" w:right="0" w:firstLine="64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公安部、证监会、国家知识产权局，各省、自治区、直辖市财政厅（局）、发展改革委、物价局，新疆生产建设兵团财政局：</w:t>
      </w:r>
    </w:p>
    <w:p w14:paraId="4D46BA9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8" w:lineRule="atLeast"/>
        <w:ind w:left="0" w:right="0" w:firstLine="64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为进一步减轻社会负担，促进实体经济发展，现就停征、免征和调整部分行政事业性收费有关政策通知如下：</w:t>
      </w:r>
    </w:p>
    <w:p w14:paraId="63FAF33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8" w:lineRule="atLeast"/>
        <w:ind w:left="0" w:right="0" w:firstLine="64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一、自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2018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年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4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月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1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日起，停征首次申领居民身份证工本费。</w:t>
      </w:r>
    </w:p>
    <w:p w14:paraId="3356950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8" w:lineRule="atLeast"/>
        <w:ind w:left="0" w:right="0" w:firstLine="64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二、自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2018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年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1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月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1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日至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2020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年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12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月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31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日，暂免征收证券期货行业机构监管费。</w:t>
      </w:r>
    </w:p>
    <w:p w14:paraId="0AA1756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8" w:lineRule="atLeast"/>
        <w:ind w:left="0" w:right="0" w:firstLine="64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三、自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2018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年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8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月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1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日起，停征专利收费（国内部分）中的专利登记费、公告印刷费、著录事项变更费（专利代理机构、代理人委托关系的变更），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PCT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（《专利合作条约》）专利申请收费（国际阶段部分）中的传送费；对符合条件的申请人，专利年费的减缴期限由自授予专利权当年起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6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年内，延长至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10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年内；对符合条件的发明专利申请，在第一次审查意见通知书答复期限届满前（已提交答复意见的除外），主动申请撤回的，允许退还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50%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的专利申请实质审查费。</w:t>
      </w:r>
    </w:p>
    <w:p w14:paraId="68BA1BC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8" w:lineRule="atLeast"/>
        <w:ind w:left="0" w:right="0" w:firstLine="64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四、上述收费的清欠收入，按照财政部门规定的渠道全额上缴中央和地方国库。</w:t>
      </w:r>
    </w:p>
    <w:p w14:paraId="38584A6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8" w:lineRule="atLeast"/>
        <w:ind w:left="0" w:right="0" w:firstLine="64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五、各级财政部门要切实做好经费保障工作，妥善安排相关部门和单位预算，保障其依法履行职责。</w:t>
      </w:r>
    </w:p>
    <w:p w14:paraId="3C53152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8" w:lineRule="atLeast"/>
        <w:ind w:left="0" w:right="0" w:firstLine="64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六、各地区、各有关部门和单位要严格执行本通知规定，及时制定出台相关配套措施，确保相关政策落实到位。</w:t>
      </w:r>
    </w:p>
    <w:p w14:paraId="3FFA6F1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8" w:lineRule="atLeast"/>
        <w:ind w:left="0" w:right="0" w:firstLine="64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 </w:t>
      </w:r>
    </w:p>
    <w:p w14:paraId="65E1E2F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8" w:lineRule="atLeast"/>
        <w:ind w:left="0" w:right="0" w:firstLine="640"/>
        <w:jc w:val="righ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　　财政部 国家发展改革委</w:t>
      </w:r>
    </w:p>
    <w:p w14:paraId="1149921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8" w:lineRule="atLeast"/>
        <w:ind w:left="0" w:right="0" w:firstLine="640"/>
        <w:jc w:val="righ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　　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2018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年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4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月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12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日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 </w:t>
      </w:r>
    </w:p>
    <w:p w14:paraId="19843CC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B1E4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2025-12-22T02:36:00Z</dcterms:created>
  <dc:creator>Administrator</dc:creator>
  <cp:lastModifiedBy>Y.I care</cp:lastModifiedBy>
  <dcterms:modified xsi:type="dcterms:W3CDTF">2025-12-22T02:36:51Z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eyJoZGlkIjoiNWU5MDhiMGM4ZjU4MzUwZjliYjRhOThhYjRhZTA5NDQiLCJ1c2VySWQiOiIyMzc0NTUwNjEifQ==</vt:lpwstr>
  </property>
  <property fmtid="{D5CDD505-2E9C-101B-9397-08002B2CF9AE}" pid="4" name="ICV">
    <vt:lpwstr>9FC354AF1BDA45B7BA0CD7E3D6BFB228_12</vt:lpwstr>
  </property>
</Properties>
</file>